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FC20" w14:textId="77777777" w:rsidR="00856906" w:rsidRPr="0094490C" w:rsidRDefault="00856906">
      <w:pPr>
        <w:jc w:val="center"/>
        <w:rPr>
          <w:rFonts w:ascii="Calibri" w:hAnsi="Calibri" w:cs="Calibri"/>
          <w:b/>
          <w:sz w:val="28"/>
          <w:lang w:val="en-GB"/>
        </w:rPr>
      </w:pPr>
      <w:r w:rsidRPr="0094490C">
        <w:rPr>
          <w:rFonts w:ascii="Calibri" w:hAnsi="Calibri" w:cs="Calibri"/>
          <w:b/>
          <w:noProof/>
          <w:szCs w:val="20"/>
          <w:lang w:val="en-GB"/>
        </w:rPr>
        <w:drawing>
          <wp:inline distT="0" distB="0" distL="0" distR="0" wp14:anchorId="60FFE1AD" wp14:editId="5381A28E">
            <wp:extent cx="1740089" cy="676694"/>
            <wp:effectExtent l="0" t="0" r="0" b="9525"/>
            <wp:docPr id="2141173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t="16399" b="25268"/>
                    <a:stretch>
                      <a:fillRect/>
                    </a:stretch>
                  </pic:blipFill>
                  <pic:spPr bwMode="auto">
                    <a:xfrm>
                      <a:off x="0" y="0"/>
                      <a:ext cx="1767587" cy="687388"/>
                    </a:xfrm>
                    <a:prstGeom prst="rect">
                      <a:avLst/>
                    </a:prstGeom>
                    <a:noFill/>
                    <a:ln>
                      <a:noFill/>
                    </a:ln>
                    <a:extLst>
                      <a:ext uri="{53640926-AAD7-44D8-BBD7-CCE9431645EC}">
                        <a14:shadowObscured xmlns:a14="http://schemas.microsoft.com/office/drawing/2010/main"/>
                      </a:ext>
                    </a:extLst>
                  </pic:spPr>
                </pic:pic>
              </a:graphicData>
            </a:graphic>
          </wp:inline>
        </w:drawing>
      </w:r>
    </w:p>
    <w:p w14:paraId="75A19662" w14:textId="3FAF9BE0" w:rsidR="002413AB" w:rsidRPr="00505FD7" w:rsidRDefault="00B56A2A" w:rsidP="00505FD7">
      <w:pPr>
        <w:pStyle w:val="NoSpacing"/>
        <w:jc w:val="center"/>
        <w:rPr>
          <w:rFonts w:ascii="Calibri" w:hAnsi="Calibri" w:cs="Calibri"/>
          <w:b/>
          <w:bCs/>
          <w:sz w:val="24"/>
          <w:szCs w:val="24"/>
          <w:lang w:val="en-GB"/>
        </w:rPr>
      </w:pPr>
      <w:r>
        <w:rPr>
          <w:rFonts w:ascii="Calibri" w:hAnsi="Calibri" w:cs="Calibri"/>
          <w:b/>
          <w:bCs/>
          <w:sz w:val="24"/>
          <w:szCs w:val="24"/>
          <w:lang w:val="en-GB"/>
        </w:rPr>
        <w:t xml:space="preserve">School Inclusion Strategy and </w:t>
      </w:r>
      <w:r w:rsidR="00505FD7" w:rsidRPr="00505FD7">
        <w:rPr>
          <w:rFonts w:ascii="Calibri" w:hAnsi="Calibri" w:cs="Calibri"/>
          <w:b/>
          <w:bCs/>
          <w:sz w:val="24"/>
          <w:szCs w:val="24"/>
          <w:lang w:val="en-GB"/>
        </w:rPr>
        <w:t xml:space="preserve">Inclusive Mainstream Fund </w:t>
      </w:r>
      <w:r w:rsidR="001706EA" w:rsidRPr="00505FD7">
        <w:rPr>
          <w:rFonts w:ascii="Calibri" w:hAnsi="Calibri" w:cs="Calibri"/>
          <w:b/>
          <w:bCs/>
          <w:sz w:val="24"/>
          <w:szCs w:val="24"/>
          <w:lang w:val="en-GB"/>
        </w:rPr>
        <w:t>2026–27</w:t>
      </w:r>
    </w:p>
    <w:p w14:paraId="2207A734" w14:textId="634C313D" w:rsidR="002413AB" w:rsidRPr="0094490C" w:rsidRDefault="002413AB" w:rsidP="00856906">
      <w:pPr>
        <w:pStyle w:val="NoSpacing"/>
        <w:rPr>
          <w:rFonts w:ascii="Calibri" w:hAnsi="Calibri" w:cs="Calibri"/>
          <w:lang w:val="en-GB"/>
        </w:rPr>
      </w:pPr>
    </w:p>
    <w:tbl>
      <w:tblPr>
        <w:tblStyle w:val="TableGrid"/>
        <w:tblW w:w="0" w:type="auto"/>
        <w:jc w:val="center"/>
        <w:tblLook w:val="04A0" w:firstRow="1" w:lastRow="0" w:firstColumn="1" w:lastColumn="0" w:noHBand="0" w:noVBand="1"/>
      </w:tblPr>
      <w:tblGrid>
        <w:gridCol w:w="5112"/>
        <w:gridCol w:w="5112"/>
      </w:tblGrid>
      <w:tr w:rsidR="002413AB" w:rsidRPr="0094490C" w14:paraId="1FB3324C" w14:textId="77777777">
        <w:trPr>
          <w:jc w:val="center"/>
        </w:trPr>
        <w:tc>
          <w:tcPr>
            <w:tcW w:w="5112" w:type="dxa"/>
          </w:tcPr>
          <w:p w14:paraId="1AA63548" w14:textId="77777777" w:rsidR="002413AB" w:rsidRPr="0094490C" w:rsidRDefault="001706EA" w:rsidP="00856906">
            <w:pPr>
              <w:jc w:val="center"/>
              <w:rPr>
                <w:rFonts w:ascii="Calibri" w:hAnsi="Calibri" w:cs="Calibri"/>
                <w:szCs w:val="20"/>
                <w:lang w:val="en-GB"/>
              </w:rPr>
            </w:pPr>
            <w:r w:rsidRPr="0094490C">
              <w:rPr>
                <w:rFonts w:ascii="Calibri" w:hAnsi="Calibri" w:cs="Calibri"/>
                <w:b/>
                <w:szCs w:val="20"/>
                <w:lang w:val="en-GB"/>
              </w:rPr>
              <w:t>Key information</w:t>
            </w:r>
          </w:p>
        </w:tc>
        <w:tc>
          <w:tcPr>
            <w:tcW w:w="5112" w:type="dxa"/>
          </w:tcPr>
          <w:p w14:paraId="7556D841" w14:textId="77777777" w:rsidR="002413AB" w:rsidRPr="0094490C" w:rsidRDefault="001706EA" w:rsidP="00856906">
            <w:pPr>
              <w:jc w:val="center"/>
              <w:rPr>
                <w:rFonts w:ascii="Calibri" w:hAnsi="Calibri" w:cs="Calibri"/>
                <w:szCs w:val="20"/>
                <w:lang w:val="en-GB"/>
              </w:rPr>
            </w:pPr>
            <w:r w:rsidRPr="0094490C">
              <w:rPr>
                <w:rFonts w:ascii="Calibri" w:hAnsi="Calibri" w:cs="Calibri"/>
                <w:b/>
                <w:szCs w:val="20"/>
                <w:lang w:val="en-GB"/>
              </w:rPr>
              <w:t>2026–27</w:t>
            </w:r>
          </w:p>
        </w:tc>
      </w:tr>
      <w:tr w:rsidR="002413AB" w:rsidRPr="0094490C" w14:paraId="02F8D728" w14:textId="77777777">
        <w:trPr>
          <w:jc w:val="center"/>
        </w:trPr>
        <w:tc>
          <w:tcPr>
            <w:tcW w:w="5112" w:type="dxa"/>
          </w:tcPr>
          <w:p w14:paraId="389D4AAD" w14:textId="77777777" w:rsidR="002413AB" w:rsidRPr="0094490C" w:rsidRDefault="001706EA">
            <w:pPr>
              <w:rPr>
                <w:rFonts w:ascii="Calibri" w:hAnsi="Calibri" w:cs="Calibri"/>
                <w:szCs w:val="20"/>
                <w:lang w:val="en-GB"/>
              </w:rPr>
            </w:pPr>
            <w:r w:rsidRPr="0094490C">
              <w:rPr>
                <w:rFonts w:ascii="Calibri" w:hAnsi="Calibri" w:cs="Calibri"/>
                <w:szCs w:val="20"/>
                <w:lang w:val="en-GB"/>
              </w:rPr>
              <w:t>Children on roll used for analysis</w:t>
            </w:r>
          </w:p>
        </w:tc>
        <w:tc>
          <w:tcPr>
            <w:tcW w:w="5112" w:type="dxa"/>
          </w:tcPr>
          <w:p w14:paraId="0546AA1D" w14:textId="77777777" w:rsidR="002413AB" w:rsidRPr="0094490C" w:rsidRDefault="001706EA">
            <w:pPr>
              <w:rPr>
                <w:rFonts w:ascii="Calibri" w:hAnsi="Calibri" w:cs="Calibri"/>
                <w:szCs w:val="20"/>
                <w:lang w:val="en-GB"/>
              </w:rPr>
            </w:pPr>
            <w:r w:rsidRPr="0094490C">
              <w:rPr>
                <w:rFonts w:ascii="Calibri" w:hAnsi="Calibri" w:cs="Calibri"/>
                <w:szCs w:val="20"/>
                <w:lang w:val="en-GB"/>
              </w:rPr>
              <w:t>442</w:t>
            </w:r>
          </w:p>
        </w:tc>
      </w:tr>
      <w:tr w:rsidR="002413AB" w:rsidRPr="0094490C" w14:paraId="48D2E966" w14:textId="77777777">
        <w:trPr>
          <w:jc w:val="center"/>
        </w:trPr>
        <w:tc>
          <w:tcPr>
            <w:tcW w:w="5112" w:type="dxa"/>
          </w:tcPr>
          <w:p w14:paraId="1F62CAFC" w14:textId="77777777" w:rsidR="002413AB" w:rsidRPr="0094490C" w:rsidRDefault="001706EA">
            <w:pPr>
              <w:rPr>
                <w:rFonts w:ascii="Calibri" w:hAnsi="Calibri" w:cs="Calibri"/>
                <w:szCs w:val="20"/>
                <w:lang w:val="en-GB"/>
              </w:rPr>
            </w:pPr>
            <w:r w:rsidRPr="0094490C">
              <w:rPr>
                <w:rFonts w:ascii="Calibri" w:hAnsi="Calibri" w:cs="Calibri"/>
                <w:szCs w:val="20"/>
                <w:lang w:val="en-GB"/>
              </w:rPr>
              <w:t>Children identified with SEND</w:t>
            </w:r>
          </w:p>
        </w:tc>
        <w:tc>
          <w:tcPr>
            <w:tcW w:w="5112" w:type="dxa"/>
          </w:tcPr>
          <w:p w14:paraId="2C11FAE5" w14:textId="77777777" w:rsidR="002413AB" w:rsidRPr="0094490C" w:rsidRDefault="001706EA">
            <w:pPr>
              <w:rPr>
                <w:rFonts w:ascii="Calibri" w:hAnsi="Calibri" w:cs="Calibri"/>
                <w:szCs w:val="20"/>
                <w:lang w:val="en-GB"/>
              </w:rPr>
            </w:pPr>
            <w:r w:rsidRPr="0094490C">
              <w:rPr>
                <w:rFonts w:ascii="Calibri" w:hAnsi="Calibri" w:cs="Calibri"/>
                <w:szCs w:val="20"/>
                <w:lang w:val="en-GB"/>
              </w:rPr>
              <w:t>74 (16.7%)</w:t>
            </w:r>
          </w:p>
        </w:tc>
      </w:tr>
      <w:tr w:rsidR="002413AB" w:rsidRPr="0094490C" w14:paraId="257857A2" w14:textId="77777777">
        <w:trPr>
          <w:jc w:val="center"/>
        </w:trPr>
        <w:tc>
          <w:tcPr>
            <w:tcW w:w="5112" w:type="dxa"/>
          </w:tcPr>
          <w:p w14:paraId="5E50CF76" w14:textId="77777777" w:rsidR="002413AB" w:rsidRPr="0094490C" w:rsidRDefault="001706EA">
            <w:pPr>
              <w:rPr>
                <w:rFonts w:ascii="Calibri" w:hAnsi="Calibri" w:cs="Calibri"/>
                <w:szCs w:val="20"/>
                <w:lang w:val="en-GB"/>
              </w:rPr>
            </w:pPr>
            <w:r w:rsidRPr="0094490C">
              <w:rPr>
                <w:rFonts w:ascii="Calibri" w:hAnsi="Calibri" w:cs="Calibri"/>
                <w:szCs w:val="20"/>
                <w:lang w:val="en-GB"/>
              </w:rPr>
              <w:t>Notional SEND funding</w:t>
            </w:r>
          </w:p>
        </w:tc>
        <w:tc>
          <w:tcPr>
            <w:tcW w:w="5112" w:type="dxa"/>
          </w:tcPr>
          <w:p w14:paraId="5D33C0CD" w14:textId="77777777" w:rsidR="002413AB" w:rsidRPr="0094490C" w:rsidRDefault="001706EA">
            <w:pPr>
              <w:rPr>
                <w:rFonts w:ascii="Calibri" w:hAnsi="Calibri" w:cs="Calibri"/>
                <w:szCs w:val="20"/>
                <w:lang w:val="en-GB"/>
              </w:rPr>
            </w:pPr>
            <w:r w:rsidRPr="0094490C">
              <w:rPr>
                <w:rFonts w:ascii="Calibri" w:hAnsi="Calibri" w:cs="Calibri"/>
                <w:szCs w:val="20"/>
                <w:lang w:val="en-GB"/>
              </w:rPr>
              <w:t>£311,551</w:t>
            </w:r>
          </w:p>
        </w:tc>
      </w:tr>
      <w:tr w:rsidR="002413AB" w:rsidRPr="0094490C" w14:paraId="13EF9590" w14:textId="77777777">
        <w:trPr>
          <w:jc w:val="center"/>
        </w:trPr>
        <w:tc>
          <w:tcPr>
            <w:tcW w:w="5112" w:type="dxa"/>
          </w:tcPr>
          <w:p w14:paraId="14C6AF8E" w14:textId="77777777" w:rsidR="002413AB" w:rsidRPr="0094490C" w:rsidRDefault="001706EA">
            <w:pPr>
              <w:rPr>
                <w:rFonts w:ascii="Calibri" w:hAnsi="Calibri" w:cs="Calibri"/>
                <w:szCs w:val="20"/>
                <w:lang w:val="en-GB"/>
              </w:rPr>
            </w:pPr>
            <w:r w:rsidRPr="0094490C">
              <w:rPr>
                <w:rFonts w:ascii="Calibri" w:hAnsi="Calibri" w:cs="Calibri"/>
                <w:szCs w:val="20"/>
                <w:lang w:val="en-GB"/>
              </w:rPr>
              <w:t>Total identified SEND funding received</w:t>
            </w:r>
          </w:p>
        </w:tc>
        <w:tc>
          <w:tcPr>
            <w:tcW w:w="5112" w:type="dxa"/>
          </w:tcPr>
          <w:p w14:paraId="25499BED" w14:textId="77777777" w:rsidR="002413AB" w:rsidRPr="0094490C" w:rsidRDefault="001706EA">
            <w:pPr>
              <w:rPr>
                <w:rFonts w:ascii="Calibri" w:hAnsi="Calibri" w:cs="Calibri"/>
                <w:szCs w:val="20"/>
                <w:lang w:val="en-GB"/>
              </w:rPr>
            </w:pPr>
            <w:r w:rsidRPr="0094490C">
              <w:rPr>
                <w:rFonts w:ascii="Calibri" w:hAnsi="Calibri" w:cs="Calibri"/>
                <w:szCs w:val="20"/>
                <w:lang w:val="en-GB"/>
              </w:rPr>
              <w:t>£811,332</w:t>
            </w:r>
          </w:p>
        </w:tc>
      </w:tr>
      <w:tr w:rsidR="002413AB" w:rsidRPr="0094490C" w14:paraId="3DC55D06" w14:textId="77777777">
        <w:trPr>
          <w:jc w:val="center"/>
        </w:trPr>
        <w:tc>
          <w:tcPr>
            <w:tcW w:w="5112" w:type="dxa"/>
          </w:tcPr>
          <w:p w14:paraId="69496D35" w14:textId="77777777" w:rsidR="002413AB" w:rsidRPr="0094490C" w:rsidRDefault="001706EA">
            <w:pPr>
              <w:rPr>
                <w:rFonts w:ascii="Calibri" w:hAnsi="Calibri" w:cs="Calibri"/>
                <w:szCs w:val="20"/>
                <w:lang w:val="en-GB"/>
              </w:rPr>
            </w:pPr>
            <w:r w:rsidRPr="0094490C">
              <w:rPr>
                <w:rFonts w:ascii="Calibri" w:hAnsi="Calibri" w:cs="Calibri"/>
                <w:szCs w:val="20"/>
                <w:lang w:val="en-GB"/>
              </w:rPr>
              <w:t>Direct SEND expenditure</w:t>
            </w:r>
          </w:p>
        </w:tc>
        <w:tc>
          <w:tcPr>
            <w:tcW w:w="5112" w:type="dxa"/>
          </w:tcPr>
          <w:p w14:paraId="40EF776D" w14:textId="77777777" w:rsidR="002413AB" w:rsidRPr="0094490C" w:rsidRDefault="001706EA">
            <w:pPr>
              <w:rPr>
                <w:rFonts w:ascii="Calibri" w:hAnsi="Calibri" w:cs="Calibri"/>
                <w:szCs w:val="20"/>
                <w:lang w:val="en-GB"/>
              </w:rPr>
            </w:pPr>
            <w:r w:rsidRPr="0094490C">
              <w:rPr>
                <w:rFonts w:ascii="Calibri" w:hAnsi="Calibri" w:cs="Calibri"/>
                <w:szCs w:val="20"/>
                <w:lang w:val="en-GB"/>
              </w:rPr>
              <w:t>£886,446.06</w:t>
            </w:r>
          </w:p>
        </w:tc>
      </w:tr>
      <w:tr w:rsidR="002413AB" w:rsidRPr="0094490C" w14:paraId="7223BB7D" w14:textId="77777777">
        <w:trPr>
          <w:jc w:val="center"/>
        </w:trPr>
        <w:tc>
          <w:tcPr>
            <w:tcW w:w="5112" w:type="dxa"/>
          </w:tcPr>
          <w:p w14:paraId="578E9382" w14:textId="77777777" w:rsidR="002413AB" w:rsidRPr="0094490C" w:rsidRDefault="001706EA">
            <w:pPr>
              <w:rPr>
                <w:rFonts w:ascii="Calibri" w:hAnsi="Calibri" w:cs="Calibri"/>
                <w:szCs w:val="20"/>
                <w:lang w:val="en-GB"/>
              </w:rPr>
            </w:pPr>
            <w:r w:rsidRPr="0094490C">
              <w:rPr>
                <w:rFonts w:ascii="Calibri" w:hAnsi="Calibri" w:cs="Calibri"/>
                <w:szCs w:val="20"/>
                <w:lang w:val="en-GB"/>
              </w:rPr>
              <w:t>Direct expenditure above identified SEND funding</w:t>
            </w:r>
          </w:p>
        </w:tc>
        <w:tc>
          <w:tcPr>
            <w:tcW w:w="5112" w:type="dxa"/>
          </w:tcPr>
          <w:p w14:paraId="13BDC463" w14:textId="77777777" w:rsidR="002413AB" w:rsidRPr="0094490C" w:rsidRDefault="001706EA">
            <w:pPr>
              <w:rPr>
                <w:rFonts w:ascii="Calibri" w:hAnsi="Calibri" w:cs="Calibri"/>
                <w:szCs w:val="20"/>
                <w:lang w:val="en-GB"/>
              </w:rPr>
            </w:pPr>
            <w:r w:rsidRPr="0094490C">
              <w:rPr>
                <w:rFonts w:ascii="Calibri" w:hAnsi="Calibri" w:cs="Calibri"/>
                <w:szCs w:val="20"/>
                <w:lang w:val="en-GB"/>
              </w:rPr>
              <w:t>£75,114.06</w:t>
            </w:r>
          </w:p>
        </w:tc>
      </w:tr>
      <w:tr w:rsidR="002413AB" w:rsidRPr="0094490C" w14:paraId="1743118A" w14:textId="77777777">
        <w:trPr>
          <w:jc w:val="center"/>
        </w:trPr>
        <w:tc>
          <w:tcPr>
            <w:tcW w:w="5112" w:type="dxa"/>
          </w:tcPr>
          <w:p w14:paraId="5FDCAD15" w14:textId="77777777" w:rsidR="002413AB" w:rsidRPr="0094490C" w:rsidRDefault="001706EA">
            <w:pPr>
              <w:rPr>
                <w:rFonts w:ascii="Calibri" w:hAnsi="Calibri" w:cs="Calibri"/>
                <w:szCs w:val="20"/>
                <w:lang w:val="en-GB"/>
              </w:rPr>
            </w:pPr>
            <w:r w:rsidRPr="0094490C">
              <w:rPr>
                <w:rFonts w:ascii="Calibri" w:hAnsi="Calibri" w:cs="Calibri"/>
                <w:szCs w:val="20"/>
                <w:lang w:val="en-GB"/>
              </w:rPr>
              <w:t>Inclusive Mainstream Fund allocation</w:t>
            </w:r>
          </w:p>
        </w:tc>
        <w:tc>
          <w:tcPr>
            <w:tcW w:w="5112" w:type="dxa"/>
          </w:tcPr>
          <w:p w14:paraId="2FE8F671" w14:textId="77777777" w:rsidR="002413AB" w:rsidRPr="0094490C" w:rsidRDefault="001706EA">
            <w:pPr>
              <w:rPr>
                <w:rFonts w:ascii="Calibri" w:hAnsi="Calibri" w:cs="Calibri"/>
                <w:szCs w:val="20"/>
                <w:lang w:val="en-GB"/>
              </w:rPr>
            </w:pPr>
            <w:r w:rsidRPr="0094490C">
              <w:rPr>
                <w:rFonts w:ascii="Calibri" w:hAnsi="Calibri" w:cs="Calibri"/>
                <w:szCs w:val="20"/>
                <w:lang w:val="en-GB"/>
              </w:rPr>
              <w:t>£18,716</w:t>
            </w:r>
          </w:p>
        </w:tc>
      </w:tr>
    </w:tbl>
    <w:p w14:paraId="6B3FDC5F" w14:textId="77777777" w:rsidR="0094490C" w:rsidRPr="0094490C" w:rsidRDefault="0094490C" w:rsidP="0094490C">
      <w:pPr>
        <w:pStyle w:val="NoSpacing"/>
        <w:rPr>
          <w:rFonts w:ascii="Calibri" w:hAnsi="Calibri" w:cs="Calibri"/>
          <w:sz w:val="20"/>
          <w:szCs w:val="20"/>
          <w:lang w:val="en-GB"/>
        </w:rPr>
      </w:pPr>
    </w:p>
    <w:p w14:paraId="05DE205E" w14:textId="584F8C0D" w:rsidR="0094490C" w:rsidRPr="0094490C" w:rsidRDefault="001706EA" w:rsidP="0094490C">
      <w:pPr>
        <w:pStyle w:val="NoSpacing"/>
        <w:rPr>
          <w:rFonts w:ascii="Calibri" w:hAnsi="Calibri" w:cs="Calibri"/>
          <w:b/>
          <w:bCs/>
          <w:sz w:val="20"/>
          <w:szCs w:val="20"/>
          <w:lang w:val="en-GB"/>
        </w:rPr>
      </w:pPr>
      <w:r w:rsidRPr="0094490C">
        <w:rPr>
          <w:rFonts w:ascii="Calibri" w:hAnsi="Calibri" w:cs="Calibri"/>
          <w:b/>
          <w:bCs/>
          <w:sz w:val="20"/>
          <w:szCs w:val="20"/>
          <w:lang w:val="en-GB"/>
        </w:rPr>
        <w:t>Purpose and strategic approach</w:t>
      </w:r>
    </w:p>
    <w:p w14:paraId="60FC870C" w14:textId="3CC8FEA7" w:rsidR="002413AB" w:rsidRPr="0094490C" w:rsidRDefault="001706EA" w:rsidP="0094490C">
      <w:pPr>
        <w:pStyle w:val="NoSpacing"/>
        <w:rPr>
          <w:rFonts w:ascii="Calibri" w:hAnsi="Calibri" w:cs="Calibri"/>
          <w:sz w:val="20"/>
          <w:szCs w:val="20"/>
          <w:lang w:val="en-GB"/>
        </w:rPr>
      </w:pPr>
      <w:r w:rsidRPr="0094490C">
        <w:rPr>
          <w:rFonts w:ascii="Calibri" w:hAnsi="Calibri" w:cs="Calibri"/>
          <w:sz w:val="20"/>
          <w:szCs w:val="20"/>
          <w:lang w:val="en-GB"/>
        </w:rPr>
        <w:t>North Mead’s strategy begins with the children experiencing the greatest barriers to learning and participation, rather than with the grant allocation. The school has used attainment, attendance, SEND, safeguarding/pastoral, participation and professional evidence to identify cohort-level barriers and determine what needs to change.</w:t>
      </w:r>
    </w:p>
    <w:p w14:paraId="23C3E6AA" w14:textId="77777777" w:rsidR="0094490C" w:rsidRDefault="0094490C" w:rsidP="0094490C">
      <w:pPr>
        <w:pStyle w:val="NoSpacing"/>
        <w:jc w:val="center"/>
        <w:rPr>
          <w:rFonts w:asciiTheme="majorHAnsi" w:hAnsiTheme="majorHAnsi" w:cstheme="majorHAnsi"/>
          <w:b/>
          <w:bCs/>
          <w:sz w:val="20"/>
          <w:szCs w:val="20"/>
          <w:lang w:val="en-GB"/>
        </w:rPr>
      </w:pPr>
    </w:p>
    <w:p w14:paraId="52D5D444" w14:textId="078C130F" w:rsidR="002413AB" w:rsidRDefault="001706EA" w:rsidP="0094490C">
      <w:pPr>
        <w:pStyle w:val="NoSpacing"/>
        <w:jc w:val="center"/>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EVIDENCE  →  IDENTIFICATION  →  DIAGNOSIS  →  INTERVENTION  →  IMPACT</w:t>
      </w:r>
    </w:p>
    <w:p w14:paraId="7613F25E" w14:textId="77777777" w:rsidR="0094490C" w:rsidRPr="0094490C" w:rsidRDefault="0094490C" w:rsidP="0094490C">
      <w:pPr>
        <w:pStyle w:val="NoSpacing"/>
        <w:jc w:val="center"/>
        <w:rPr>
          <w:rFonts w:asciiTheme="majorHAnsi" w:hAnsiTheme="majorHAnsi" w:cstheme="majorHAnsi"/>
          <w:b/>
          <w:bCs/>
          <w:sz w:val="20"/>
          <w:szCs w:val="20"/>
          <w:lang w:val="en-GB"/>
        </w:rPr>
      </w:pPr>
    </w:p>
    <w:p w14:paraId="703D1DA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The Inclusive Mainstream Fund (IMF) is additional to North Mead’s established inclusion investment. It will be used to strengthen or extend inclusive practice and will not substitute for pre-existing activity funded through GAG, the notional SEND budget, specialist group funding or Element 3/top-up funding.</w:t>
      </w:r>
    </w:p>
    <w:p w14:paraId="3C3AC34C" w14:textId="77777777" w:rsidR="0094490C" w:rsidRDefault="0094490C" w:rsidP="0094490C">
      <w:pPr>
        <w:pStyle w:val="NoSpacing"/>
        <w:rPr>
          <w:lang w:val="en-GB"/>
        </w:rPr>
      </w:pPr>
    </w:p>
    <w:p w14:paraId="73A8620B" w14:textId="71393F35" w:rsidR="002413AB" w:rsidRPr="0094490C" w:rsidRDefault="001706EA" w:rsidP="0094490C">
      <w:pPr>
        <w:pStyle w:val="NoSpacing"/>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Evidence and diagnosis</w:t>
      </w:r>
    </w:p>
    <w:tbl>
      <w:tblPr>
        <w:tblStyle w:val="TableGrid"/>
        <w:tblW w:w="0" w:type="auto"/>
        <w:jc w:val="center"/>
        <w:tblLook w:val="04A0" w:firstRow="1" w:lastRow="0" w:firstColumn="1" w:lastColumn="0" w:noHBand="0" w:noVBand="1"/>
      </w:tblPr>
      <w:tblGrid>
        <w:gridCol w:w="3119"/>
        <w:gridCol w:w="7229"/>
      </w:tblGrid>
      <w:tr w:rsidR="002413AB" w:rsidRPr="0094490C" w14:paraId="2CD3EB96" w14:textId="77777777" w:rsidTr="00856906">
        <w:trPr>
          <w:jc w:val="center"/>
        </w:trPr>
        <w:tc>
          <w:tcPr>
            <w:tcW w:w="3119" w:type="dxa"/>
          </w:tcPr>
          <w:p w14:paraId="1DC624E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Evidence</w:t>
            </w:r>
          </w:p>
        </w:tc>
        <w:tc>
          <w:tcPr>
            <w:tcW w:w="7229" w:type="dxa"/>
          </w:tcPr>
          <w:p w14:paraId="55836559"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What it tells us</w:t>
            </w:r>
          </w:p>
        </w:tc>
      </w:tr>
      <w:tr w:rsidR="002413AB" w:rsidRPr="0094490C" w14:paraId="2FEE8DA5" w14:textId="77777777" w:rsidTr="00856906">
        <w:trPr>
          <w:jc w:val="center"/>
        </w:trPr>
        <w:tc>
          <w:tcPr>
            <w:tcW w:w="3119" w:type="dxa"/>
          </w:tcPr>
          <w:p w14:paraId="5901B4AE"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Attainment and curriculum access</w:t>
            </w:r>
          </w:p>
        </w:tc>
        <w:tc>
          <w:tcPr>
            <w:tcW w:w="7229" w:type="dxa"/>
          </w:tcPr>
          <w:p w14:paraId="317D5339"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A substantial group within the SEND cohort is below age-related expectations in reading, writing and mathematics, although other children with SEND achieve EXS and some GDS. SEND status alone therefore does not explain outcomes; specific barriers to access need to be identified.</w:t>
            </w:r>
          </w:p>
        </w:tc>
      </w:tr>
      <w:tr w:rsidR="002413AB" w:rsidRPr="0094490C" w14:paraId="13981B17" w14:textId="77777777" w:rsidTr="00856906">
        <w:trPr>
          <w:jc w:val="center"/>
        </w:trPr>
        <w:tc>
          <w:tcPr>
            <w:tcW w:w="3119" w:type="dxa"/>
          </w:tcPr>
          <w:p w14:paraId="6DBCC7E8"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Communication and interaction</w:t>
            </w:r>
          </w:p>
        </w:tc>
        <w:tc>
          <w:tcPr>
            <w:tcW w:w="7229" w:type="dxa"/>
          </w:tcPr>
          <w:p w14:paraId="7E4E0EBB"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SLCN is prominent within the SEND cohort and there is substantial overlap with multilingual/EAL children. EAL is not treated as SEND. The strategic need is for precise identification and communication-supportive universal and targeted practice.</w:t>
            </w:r>
          </w:p>
        </w:tc>
      </w:tr>
      <w:tr w:rsidR="002413AB" w:rsidRPr="0094490C" w14:paraId="23142756" w14:textId="77777777" w:rsidTr="00856906">
        <w:trPr>
          <w:jc w:val="center"/>
        </w:trPr>
        <w:tc>
          <w:tcPr>
            <w:tcW w:w="3119" w:type="dxa"/>
          </w:tcPr>
          <w:p w14:paraId="4D53FE4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Multiple vulnerability</w:t>
            </w:r>
          </w:p>
        </w:tc>
        <w:tc>
          <w:tcPr>
            <w:tcW w:w="7229" w:type="dxa"/>
          </w:tcPr>
          <w:p w14:paraId="2A4E90C2"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The children of greatest concern frequently experience overlapping educational need, disadvantage, safeguarding/pastoral vulnerability, social-care involvement and, for a smaller cohort, weaker attendance. Separate systems can obscure cumulative barriers.</w:t>
            </w:r>
          </w:p>
        </w:tc>
      </w:tr>
      <w:tr w:rsidR="002413AB" w:rsidRPr="0094490C" w14:paraId="3BFCF868" w14:textId="77777777" w:rsidTr="00856906">
        <w:trPr>
          <w:jc w:val="center"/>
        </w:trPr>
        <w:tc>
          <w:tcPr>
            <w:tcW w:w="3119" w:type="dxa"/>
          </w:tcPr>
          <w:p w14:paraId="5735E54F"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Attendance and behaviour</w:t>
            </w:r>
          </w:p>
        </w:tc>
        <w:tc>
          <w:tcPr>
            <w:tcW w:w="7229" w:type="dxa"/>
          </w:tcPr>
          <w:p w14:paraId="49AAE41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Many children with SEND attend strongly. Lower attendance is concentrated in a smaller, multiply vulnerable cohort. There has been one suspension in the last 12 months, so suspension/behaviour is not identified as a standalone strategic priority.</w:t>
            </w:r>
          </w:p>
        </w:tc>
      </w:tr>
      <w:tr w:rsidR="002413AB" w:rsidRPr="0094490C" w14:paraId="4D31910F" w14:textId="77777777" w:rsidTr="00856906">
        <w:trPr>
          <w:jc w:val="center"/>
        </w:trPr>
        <w:tc>
          <w:tcPr>
            <w:tcW w:w="3119" w:type="dxa"/>
          </w:tcPr>
          <w:p w14:paraId="72D29481"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Participation and belonging</w:t>
            </w:r>
          </w:p>
        </w:tc>
        <w:tc>
          <w:tcPr>
            <w:tcW w:w="7229" w:type="dxa"/>
          </w:tcPr>
          <w:p w14:paraId="13981A31"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SEND, disadvantaged and vulnerable children access trips, clubs, enrichment and wider opportunities. The school will strengthen systematic monitoring of participation and belonging.</w:t>
            </w:r>
          </w:p>
        </w:tc>
      </w:tr>
      <w:tr w:rsidR="002413AB" w:rsidRPr="0094490C" w14:paraId="7E3BDB84" w14:textId="77777777" w:rsidTr="00856906">
        <w:trPr>
          <w:jc w:val="center"/>
        </w:trPr>
        <w:tc>
          <w:tcPr>
            <w:tcW w:w="3119" w:type="dxa"/>
          </w:tcPr>
          <w:p w14:paraId="0196BC54"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Graduated response</w:t>
            </w:r>
          </w:p>
        </w:tc>
        <w:tc>
          <w:tcPr>
            <w:tcW w:w="7229" w:type="dxa"/>
          </w:tcPr>
          <w:p w14:paraId="0EC387C2"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Bumblebees supports 12 children at Specialist level. Pheasants is a new Targeted Plus provision established in August 2026 for 16 children. Early evidence from the IAPs includes progress in regulation, personal development, attendance and independence; systematic cohort-level evaluation will be strengthened.</w:t>
            </w:r>
          </w:p>
        </w:tc>
      </w:tr>
    </w:tbl>
    <w:p w14:paraId="2B484283" w14:textId="77777777" w:rsidR="0094490C" w:rsidRDefault="0094490C" w:rsidP="0094490C">
      <w:pPr>
        <w:pStyle w:val="NoSpacing"/>
        <w:rPr>
          <w:lang w:val="en-GB"/>
        </w:rPr>
      </w:pPr>
    </w:p>
    <w:p w14:paraId="59614B94" w14:textId="5D128A15" w:rsidR="002413AB" w:rsidRPr="0094490C" w:rsidRDefault="001706EA" w:rsidP="0094490C">
      <w:pPr>
        <w:pStyle w:val="NoSpacing"/>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Existing investment in inclusion</w:t>
      </w:r>
    </w:p>
    <w:p w14:paraId="049D4F4D" w14:textId="77777777" w:rsidR="002413AB"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North Mead already makes a substantial commitment to inclusion. Identified SEND funding totals £811,332, comprising £311,551 notional SEND funding, £168,096 Bumblebees specialist EHCP provision funding, £174,912 Pheasants specialist group funding and £156,773 additional top-up/EHCP funding. Direct SEND expenditure is budgeted at £886,446.06 — £75,114.06 above identified SEND funding received — before wider inclusion investment in mainstream teacher time, leadership, safeguarding and premises is costed.</w:t>
      </w:r>
    </w:p>
    <w:p w14:paraId="5A00D5E0" w14:textId="77777777" w:rsidR="0094490C" w:rsidRPr="0094490C" w:rsidRDefault="0094490C" w:rsidP="0094490C">
      <w:pPr>
        <w:pStyle w:val="NoSpacing"/>
        <w:rPr>
          <w:rFonts w:asciiTheme="majorHAnsi" w:hAnsiTheme="majorHAnsi" w:cstheme="majorHAnsi"/>
          <w:sz w:val="20"/>
          <w:szCs w:val="20"/>
          <w:lang w:val="en-GB"/>
        </w:rPr>
      </w:pPr>
    </w:p>
    <w:p w14:paraId="21F7EAFB"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lastRenderedPageBreak/>
        <w:t>Existing investment includes classroom and intervention staffing, SENDCo capacity, Bumblebees and Pheasants teaching, ELSA and SEMH support, Educational Psychology, Speech and Language Therapy, SEND CPD, SEND release, wraparound support, specialist resources and enrichment. These existing commitments are not retrospectively attributed to IMF.</w:t>
      </w:r>
    </w:p>
    <w:p w14:paraId="6B7B4734" w14:textId="77777777" w:rsidR="0094490C" w:rsidRDefault="0094490C" w:rsidP="0094490C">
      <w:pPr>
        <w:pStyle w:val="NoSpacing"/>
        <w:rPr>
          <w:rFonts w:asciiTheme="majorHAnsi" w:hAnsiTheme="majorHAnsi" w:cstheme="majorHAnsi"/>
          <w:sz w:val="20"/>
          <w:szCs w:val="20"/>
          <w:lang w:val="en-GB"/>
        </w:rPr>
      </w:pPr>
    </w:p>
    <w:p w14:paraId="3EFE66E4" w14:textId="736780E3" w:rsidR="002413AB" w:rsidRPr="0094490C" w:rsidRDefault="001706EA" w:rsidP="0094490C">
      <w:pPr>
        <w:pStyle w:val="NoSpacing"/>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Strategic priorities and IMF plan</w:t>
      </w:r>
    </w:p>
    <w:p w14:paraId="40BE0C26" w14:textId="2127860B" w:rsidR="002413AB" w:rsidRPr="0094490C" w:rsidRDefault="002413AB" w:rsidP="0094490C">
      <w:pPr>
        <w:pStyle w:val="NoSpacing"/>
        <w:rPr>
          <w:rFonts w:asciiTheme="majorHAnsi" w:hAnsiTheme="majorHAnsi" w:cstheme="majorHAnsi"/>
          <w:sz w:val="20"/>
          <w:szCs w:val="20"/>
          <w:lang w:val="en-GB"/>
        </w:rPr>
      </w:pPr>
    </w:p>
    <w:tbl>
      <w:tblPr>
        <w:tblStyle w:val="TableGrid"/>
        <w:tblW w:w="0" w:type="auto"/>
        <w:jc w:val="center"/>
        <w:tblLook w:val="04A0" w:firstRow="1" w:lastRow="0" w:firstColumn="1" w:lastColumn="0" w:noHBand="0" w:noVBand="1"/>
      </w:tblPr>
      <w:tblGrid>
        <w:gridCol w:w="3828"/>
        <w:gridCol w:w="6396"/>
      </w:tblGrid>
      <w:tr w:rsidR="0094490C" w:rsidRPr="0094490C" w14:paraId="054E96D5" w14:textId="77777777" w:rsidTr="0094490C">
        <w:trPr>
          <w:jc w:val="center"/>
        </w:trPr>
        <w:tc>
          <w:tcPr>
            <w:tcW w:w="10224" w:type="dxa"/>
            <w:gridSpan w:val="2"/>
            <w:shd w:val="clear" w:color="auto" w:fill="C6D9F1" w:themeFill="text2" w:themeFillTint="33"/>
          </w:tcPr>
          <w:p w14:paraId="3990DBD7" w14:textId="044E10EB" w:rsidR="0094490C" w:rsidRPr="0094490C" w:rsidRDefault="0094490C" w:rsidP="0094490C">
            <w:pPr>
              <w:pStyle w:val="NoSpacing"/>
              <w:jc w:val="center"/>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Priority 1 – Communication, interaction and curriculum access</w:t>
            </w:r>
          </w:p>
        </w:tc>
      </w:tr>
      <w:tr w:rsidR="002413AB" w:rsidRPr="0094490C" w14:paraId="607AEF4C" w14:textId="77777777" w:rsidTr="00856906">
        <w:trPr>
          <w:jc w:val="center"/>
        </w:trPr>
        <w:tc>
          <w:tcPr>
            <w:tcW w:w="3828" w:type="dxa"/>
          </w:tcPr>
          <w:p w14:paraId="55E4E70B"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TMET element</w:t>
            </w:r>
          </w:p>
        </w:tc>
        <w:tc>
          <w:tcPr>
            <w:tcW w:w="6396" w:type="dxa"/>
          </w:tcPr>
          <w:p w14:paraId="498077A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North Mead response</w:t>
            </w:r>
          </w:p>
        </w:tc>
      </w:tr>
      <w:tr w:rsidR="002413AB" w:rsidRPr="0094490C" w14:paraId="10577D83" w14:textId="77777777" w:rsidTr="00856906">
        <w:trPr>
          <w:jc w:val="center"/>
        </w:trPr>
        <w:tc>
          <w:tcPr>
            <w:tcW w:w="3828" w:type="dxa"/>
          </w:tcPr>
          <w:p w14:paraId="673B283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 / identified barrier</w:t>
            </w:r>
          </w:p>
        </w:tc>
        <w:tc>
          <w:tcPr>
            <w:tcW w:w="6396" w:type="dxa"/>
          </w:tcPr>
          <w:p w14:paraId="63821473" w14:textId="63632DC5"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 xml:space="preserve">A significant </w:t>
            </w:r>
            <w:r w:rsidR="00E473BF" w:rsidRPr="0094490C">
              <w:rPr>
                <w:rFonts w:asciiTheme="majorHAnsi" w:hAnsiTheme="majorHAnsi" w:cstheme="majorHAnsi"/>
                <w:sz w:val="20"/>
                <w:szCs w:val="20"/>
                <w:lang w:val="en-GB"/>
              </w:rPr>
              <w:t>group of children</w:t>
            </w:r>
            <w:r w:rsidRPr="0094490C">
              <w:rPr>
                <w:rFonts w:asciiTheme="majorHAnsi" w:hAnsiTheme="majorHAnsi" w:cstheme="majorHAnsi"/>
                <w:sz w:val="20"/>
                <w:szCs w:val="20"/>
                <w:lang w:val="en-GB"/>
              </w:rPr>
              <w:t xml:space="preserve"> experience barriers to age-related curriculum access; SLCN is prominent and communication/language needs intersect with </w:t>
            </w:r>
            <w:r w:rsidR="00E473BF" w:rsidRPr="0094490C">
              <w:rPr>
                <w:rFonts w:asciiTheme="majorHAnsi" w:hAnsiTheme="majorHAnsi" w:cstheme="majorHAnsi"/>
                <w:sz w:val="20"/>
                <w:szCs w:val="20"/>
                <w:lang w:val="en-GB"/>
              </w:rPr>
              <w:t>EAL</w:t>
            </w:r>
            <w:r w:rsidRPr="0094490C">
              <w:rPr>
                <w:rFonts w:asciiTheme="majorHAnsi" w:hAnsiTheme="majorHAnsi" w:cstheme="majorHAnsi"/>
                <w:sz w:val="20"/>
                <w:szCs w:val="20"/>
                <w:lang w:val="en-GB"/>
              </w:rPr>
              <w:t>.</w:t>
            </w:r>
          </w:p>
        </w:tc>
      </w:tr>
      <w:tr w:rsidR="002413AB" w:rsidRPr="0094490C" w14:paraId="56E97CCF" w14:textId="77777777" w:rsidTr="00856906">
        <w:trPr>
          <w:jc w:val="center"/>
        </w:trPr>
        <w:tc>
          <w:tcPr>
            <w:tcW w:w="3828" w:type="dxa"/>
          </w:tcPr>
          <w:p w14:paraId="0776B621"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Diagnosis and intended change</w:t>
            </w:r>
          </w:p>
        </w:tc>
        <w:tc>
          <w:tcPr>
            <w:tcW w:w="6396" w:type="dxa"/>
          </w:tcPr>
          <w:p w14:paraId="7035B18E"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Strengthen communication-supportive universal teaching and precise targeted support, including vocabulary, modelling, scaffolding, visual support, checking understanding and appropriate communication/language assessment.</w:t>
            </w:r>
          </w:p>
        </w:tc>
      </w:tr>
      <w:tr w:rsidR="002413AB" w:rsidRPr="0094490C" w14:paraId="6E5B1C8C" w14:textId="77777777" w:rsidTr="00856906">
        <w:trPr>
          <w:jc w:val="center"/>
        </w:trPr>
        <w:tc>
          <w:tcPr>
            <w:tcW w:w="3828" w:type="dxa"/>
          </w:tcPr>
          <w:p w14:paraId="5666048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 base</w:t>
            </w:r>
          </w:p>
        </w:tc>
        <w:tc>
          <w:tcPr>
            <w:tcW w:w="6396" w:type="dxa"/>
          </w:tcPr>
          <w:p w14:paraId="22C8045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TMET/DfE inclusion principles; evidence-informed inclusive teaching and graduated-response practice; existing SALT and EP expertise will inform implementation.</w:t>
            </w:r>
          </w:p>
        </w:tc>
      </w:tr>
      <w:tr w:rsidR="002413AB" w:rsidRPr="0094490C" w14:paraId="24EEC174" w14:textId="77777777" w:rsidTr="00856906">
        <w:trPr>
          <w:jc w:val="center"/>
        </w:trPr>
        <w:tc>
          <w:tcPr>
            <w:tcW w:w="3828" w:type="dxa"/>
          </w:tcPr>
          <w:p w14:paraId="386327B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Implementation / additional IMF activity</w:t>
            </w:r>
          </w:p>
        </w:tc>
        <w:tc>
          <w:tcPr>
            <w:tcW w:w="6396" w:type="dxa"/>
          </w:tcPr>
          <w:p w14:paraId="4EF84152"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Additional specialist communication/SALT capacity; coaching and modelling; communication assessment/screening; staff release to embed agreed approaches.</w:t>
            </w:r>
          </w:p>
        </w:tc>
      </w:tr>
      <w:tr w:rsidR="002413AB" w:rsidRPr="0094490C" w14:paraId="0A4F38FB" w14:textId="77777777" w:rsidTr="00856906">
        <w:trPr>
          <w:jc w:val="center"/>
        </w:trPr>
        <w:tc>
          <w:tcPr>
            <w:tcW w:w="3828" w:type="dxa"/>
          </w:tcPr>
          <w:p w14:paraId="768050BC"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IMF budget</w:t>
            </w:r>
          </w:p>
        </w:tc>
        <w:tc>
          <w:tcPr>
            <w:tcW w:w="6396" w:type="dxa"/>
          </w:tcPr>
          <w:p w14:paraId="33A63515"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£7,500</w:t>
            </w:r>
          </w:p>
        </w:tc>
      </w:tr>
      <w:tr w:rsidR="002413AB" w:rsidRPr="0094490C" w14:paraId="6D2FE9AA" w14:textId="77777777" w:rsidTr="00856906">
        <w:trPr>
          <w:jc w:val="center"/>
        </w:trPr>
        <w:tc>
          <w:tcPr>
            <w:tcW w:w="3828" w:type="dxa"/>
          </w:tcPr>
          <w:p w14:paraId="1C499A3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Intended outcomes</w:t>
            </w:r>
          </w:p>
        </w:tc>
        <w:tc>
          <w:tcPr>
            <w:tcW w:w="6396" w:type="dxa"/>
          </w:tcPr>
          <w:p w14:paraId="4EAD6607"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Improved access, communication, participation and independence; progress from communication/language baselines; stronger consistency of agreed classroom approaches.</w:t>
            </w:r>
          </w:p>
        </w:tc>
      </w:tr>
      <w:tr w:rsidR="002413AB" w:rsidRPr="0094490C" w14:paraId="1C31A464" w14:textId="77777777" w:rsidTr="00856906">
        <w:trPr>
          <w:jc w:val="center"/>
        </w:trPr>
        <w:tc>
          <w:tcPr>
            <w:tcW w:w="3828" w:type="dxa"/>
          </w:tcPr>
          <w:p w14:paraId="622417C4"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Review</w:t>
            </w:r>
          </w:p>
        </w:tc>
        <w:tc>
          <w:tcPr>
            <w:tcW w:w="6396" w:type="dxa"/>
          </w:tcPr>
          <w:p w14:paraId="1DB0A188" w14:textId="2CCAA67E" w:rsidR="002413AB" w:rsidRPr="0094490C" w:rsidRDefault="00E473BF"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w:t>
            </w:r>
            <w:r w:rsidR="001706EA" w:rsidRPr="0094490C">
              <w:rPr>
                <w:rFonts w:asciiTheme="majorHAnsi" w:hAnsiTheme="majorHAnsi" w:cstheme="majorHAnsi"/>
                <w:sz w:val="20"/>
                <w:szCs w:val="20"/>
                <w:lang w:val="en-GB"/>
              </w:rPr>
              <w:t xml:space="preserve">ermly implementation review; </w:t>
            </w:r>
            <w:r w:rsidRPr="0094490C">
              <w:rPr>
                <w:rFonts w:asciiTheme="majorHAnsi" w:hAnsiTheme="majorHAnsi" w:cstheme="majorHAnsi"/>
                <w:sz w:val="20"/>
                <w:szCs w:val="20"/>
                <w:lang w:val="en-GB"/>
              </w:rPr>
              <w:t>3 x</w:t>
            </w:r>
            <w:r w:rsidR="001706EA" w:rsidRPr="0094490C">
              <w:rPr>
                <w:rFonts w:asciiTheme="majorHAnsi" w:hAnsiTheme="majorHAnsi" w:cstheme="majorHAnsi"/>
                <w:sz w:val="20"/>
                <w:szCs w:val="20"/>
                <w:lang w:val="en-GB"/>
              </w:rPr>
              <w:t xml:space="preserve"> evaluation of pupil impact; adapt or stop activity where evidence does not demonstrate impact.</w:t>
            </w:r>
          </w:p>
        </w:tc>
      </w:tr>
    </w:tbl>
    <w:p w14:paraId="377C5CD5" w14:textId="15CFAAC8" w:rsidR="002413AB" w:rsidRPr="0094490C" w:rsidRDefault="002413AB" w:rsidP="0094490C">
      <w:pPr>
        <w:pStyle w:val="NoSpacing"/>
        <w:rPr>
          <w:rFonts w:asciiTheme="majorHAnsi" w:hAnsiTheme="majorHAnsi" w:cstheme="majorHAnsi"/>
          <w:sz w:val="20"/>
          <w:szCs w:val="20"/>
          <w:lang w:val="en-GB"/>
        </w:rPr>
      </w:pPr>
    </w:p>
    <w:tbl>
      <w:tblPr>
        <w:tblStyle w:val="TableGrid"/>
        <w:tblW w:w="0" w:type="auto"/>
        <w:jc w:val="center"/>
        <w:tblLook w:val="04A0" w:firstRow="1" w:lastRow="0" w:firstColumn="1" w:lastColumn="0" w:noHBand="0" w:noVBand="1"/>
      </w:tblPr>
      <w:tblGrid>
        <w:gridCol w:w="3828"/>
        <w:gridCol w:w="6396"/>
      </w:tblGrid>
      <w:tr w:rsidR="0094490C" w:rsidRPr="0094490C" w14:paraId="014EB746" w14:textId="77777777" w:rsidTr="0094490C">
        <w:trPr>
          <w:jc w:val="center"/>
        </w:trPr>
        <w:tc>
          <w:tcPr>
            <w:tcW w:w="10224" w:type="dxa"/>
            <w:gridSpan w:val="2"/>
            <w:shd w:val="clear" w:color="auto" w:fill="C6D9F1" w:themeFill="text2" w:themeFillTint="33"/>
          </w:tcPr>
          <w:p w14:paraId="18EAC330" w14:textId="5AD76E21" w:rsidR="0094490C" w:rsidRPr="0094490C" w:rsidRDefault="0094490C" w:rsidP="0094490C">
            <w:pPr>
              <w:pStyle w:val="NoSpacing"/>
              <w:jc w:val="center"/>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Priority 2 – Multiple vulnerability and coordinated early support</w:t>
            </w:r>
          </w:p>
        </w:tc>
      </w:tr>
      <w:tr w:rsidR="002413AB" w:rsidRPr="0094490C" w14:paraId="58EE2259" w14:textId="77777777" w:rsidTr="00856906">
        <w:trPr>
          <w:jc w:val="center"/>
        </w:trPr>
        <w:tc>
          <w:tcPr>
            <w:tcW w:w="3828" w:type="dxa"/>
          </w:tcPr>
          <w:p w14:paraId="39021C5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TMET element</w:t>
            </w:r>
          </w:p>
        </w:tc>
        <w:tc>
          <w:tcPr>
            <w:tcW w:w="6396" w:type="dxa"/>
          </w:tcPr>
          <w:p w14:paraId="2105071A"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North Mead response</w:t>
            </w:r>
          </w:p>
        </w:tc>
      </w:tr>
      <w:tr w:rsidR="002413AB" w:rsidRPr="0094490C" w14:paraId="0525BAF5" w14:textId="77777777" w:rsidTr="00856906">
        <w:trPr>
          <w:jc w:val="center"/>
        </w:trPr>
        <w:tc>
          <w:tcPr>
            <w:tcW w:w="3828" w:type="dxa"/>
          </w:tcPr>
          <w:p w14:paraId="42A8891F"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 / identified barrier</w:t>
            </w:r>
          </w:p>
        </w:tc>
        <w:tc>
          <w:tcPr>
            <w:tcW w:w="6396" w:type="dxa"/>
          </w:tcPr>
          <w:p w14:paraId="56A14D77"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The greatest barriers are often cumulative, where SEND/learning need overlaps with safeguarding/pastoral vulnerability, disadvantage, social-care involvement and/or weaker attendance.</w:t>
            </w:r>
          </w:p>
        </w:tc>
      </w:tr>
      <w:tr w:rsidR="002413AB" w:rsidRPr="0094490C" w14:paraId="792C870C" w14:textId="77777777" w:rsidTr="00856906">
        <w:trPr>
          <w:jc w:val="center"/>
        </w:trPr>
        <w:tc>
          <w:tcPr>
            <w:tcW w:w="3828" w:type="dxa"/>
          </w:tcPr>
          <w:p w14:paraId="1381EBA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Diagnosis and intended change</w:t>
            </w:r>
          </w:p>
        </w:tc>
        <w:tc>
          <w:tcPr>
            <w:tcW w:w="6396" w:type="dxa"/>
          </w:tcPr>
          <w:p w14:paraId="7A39097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Bring SEND, safeguarding, pastoral, attendance, attainment and family intelligence together more explicitly around the highest-vulnerability cohort so that support is earlier and more coherent.</w:t>
            </w:r>
          </w:p>
        </w:tc>
      </w:tr>
      <w:tr w:rsidR="002413AB" w:rsidRPr="0094490C" w14:paraId="16D918CD" w14:textId="77777777" w:rsidTr="00856906">
        <w:trPr>
          <w:jc w:val="center"/>
        </w:trPr>
        <w:tc>
          <w:tcPr>
            <w:tcW w:w="3828" w:type="dxa"/>
          </w:tcPr>
          <w:p w14:paraId="3C45C461"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 base</w:t>
            </w:r>
          </w:p>
        </w:tc>
        <w:tc>
          <w:tcPr>
            <w:tcW w:w="6396" w:type="dxa"/>
          </w:tcPr>
          <w:p w14:paraId="5B8BA22A"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TMET/DfE inclusion principles; graduated response, early intervention and partnership with families/wider services.</w:t>
            </w:r>
          </w:p>
        </w:tc>
      </w:tr>
      <w:tr w:rsidR="002413AB" w:rsidRPr="0094490C" w14:paraId="289034A4" w14:textId="77777777" w:rsidTr="00856906">
        <w:trPr>
          <w:jc w:val="center"/>
        </w:trPr>
        <w:tc>
          <w:tcPr>
            <w:tcW w:w="3828" w:type="dxa"/>
          </w:tcPr>
          <w:p w14:paraId="2199276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Implementation / additional IMF activity</w:t>
            </w:r>
          </w:p>
        </w:tc>
        <w:tc>
          <w:tcPr>
            <w:tcW w:w="6396" w:type="dxa"/>
          </w:tcPr>
          <w:p w14:paraId="0B892D01" w14:textId="70F54492"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Additional release and coordination capacity to identify/review the cohort</w:t>
            </w:r>
            <w:r w:rsidR="00E473BF" w:rsidRPr="0094490C">
              <w:rPr>
                <w:rFonts w:asciiTheme="majorHAnsi" w:hAnsiTheme="majorHAnsi" w:cstheme="majorHAnsi"/>
                <w:sz w:val="20"/>
                <w:szCs w:val="20"/>
                <w:lang w:val="en-GB"/>
              </w:rPr>
              <w:t>s</w:t>
            </w:r>
            <w:r w:rsidRPr="0094490C">
              <w:rPr>
                <w:rFonts w:asciiTheme="majorHAnsi" w:hAnsiTheme="majorHAnsi" w:cstheme="majorHAnsi"/>
                <w:sz w:val="20"/>
                <w:szCs w:val="20"/>
                <w:lang w:val="en-GB"/>
              </w:rPr>
              <w:t>, coordinate plans with families/services and evaluate impact.</w:t>
            </w:r>
          </w:p>
        </w:tc>
      </w:tr>
      <w:tr w:rsidR="002413AB" w:rsidRPr="0094490C" w14:paraId="1312B6AB" w14:textId="77777777" w:rsidTr="00856906">
        <w:trPr>
          <w:jc w:val="center"/>
        </w:trPr>
        <w:tc>
          <w:tcPr>
            <w:tcW w:w="3828" w:type="dxa"/>
          </w:tcPr>
          <w:p w14:paraId="3F4030A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IMF budget</w:t>
            </w:r>
          </w:p>
        </w:tc>
        <w:tc>
          <w:tcPr>
            <w:tcW w:w="6396" w:type="dxa"/>
          </w:tcPr>
          <w:p w14:paraId="1C98201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£3,216</w:t>
            </w:r>
          </w:p>
        </w:tc>
      </w:tr>
      <w:tr w:rsidR="002413AB" w:rsidRPr="0094490C" w14:paraId="12DBB2F4" w14:textId="77777777" w:rsidTr="00856906">
        <w:trPr>
          <w:jc w:val="center"/>
        </w:trPr>
        <w:tc>
          <w:tcPr>
            <w:tcW w:w="3828" w:type="dxa"/>
          </w:tcPr>
          <w:p w14:paraId="4FF68215"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Intended outcomes</w:t>
            </w:r>
          </w:p>
        </w:tc>
        <w:tc>
          <w:tcPr>
            <w:tcW w:w="6396" w:type="dxa"/>
          </w:tcPr>
          <w:p w14:paraId="3EE92FC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Earlier coordinated response; improved or sustained attendance where absence is a barrier; clearer pupil/family engagement; reduced fragmentation between plans and services.</w:t>
            </w:r>
          </w:p>
        </w:tc>
      </w:tr>
      <w:tr w:rsidR="002413AB" w:rsidRPr="0094490C" w14:paraId="26CEFB11" w14:textId="77777777" w:rsidTr="00856906">
        <w:trPr>
          <w:jc w:val="center"/>
        </w:trPr>
        <w:tc>
          <w:tcPr>
            <w:tcW w:w="3828" w:type="dxa"/>
          </w:tcPr>
          <w:p w14:paraId="116CE83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Review</w:t>
            </w:r>
          </w:p>
        </w:tc>
        <w:tc>
          <w:tcPr>
            <w:tcW w:w="6396" w:type="dxa"/>
          </w:tcPr>
          <w:p w14:paraId="1A14B0CA"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Half-termly cohort review and termly impact evaluation using attendance, participation, progress and pupil/family evidence.</w:t>
            </w:r>
          </w:p>
        </w:tc>
      </w:tr>
    </w:tbl>
    <w:p w14:paraId="6D82922A" w14:textId="2F07D8C3" w:rsidR="002413AB" w:rsidRPr="0094490C" w:rsidRDefault="002413AB" w:rsidP="0094490C">
      <w:pPr>
        <w:pStyle w:val="NoSpacing"/>
        <w:rPr>
          <w:rFonts w:asciiTheme="majorHAnsi" w:hAnsiTheme="majorHAnsi" w:cstheme="majorHAnsi"/>
          <w:sz w:val="20"/>
          <w:szCs w:val="20"/>
          <w:lang w:val="en-GB"/>
        </w:rPr>
      </w:pPr>
    </w:p>
    <w:tbl>
      <w:tblPr>
        <w:tblStyle w:val="TableGrid"/>
        <w:tblW w:w="0" w:type="auto"/>
        <w:jc w:val="center"/>
        <w:tblLook w:val="04A0" w:firstRow="1" w:lastRow="0" w:firstColumn="1" w:lastColumn="0" w:noHBand="0" w:noVBand="1"/>
      </w:tblPr>
      <w:tblGrid>
        <w:gridCol w:w="3828"/>
        <w:gridCol w:w="6396"/>
      </w:tblGrid>
      <w:tr w:rsidR="0094490C" w:rsidRPr="0094490C" w14:paraId="28C9E27C" w14:textId="77777777" w:rsidTr="0094490C">
        <w:trPr>
          <w:jc w:val="center"/>
        </w:trPr>
        <w:tc>
          <w:tcPr>
            <w:tcW w:w="10224" w:type="dxa"/>
            <w:gridSpan w:val="2"/>
            <w:shd w:val="clear" w:color="auto" w:fill="C6D9F1" w:themeFill="text2" w:themeFillTint="33"/>
          </w:tcPr>
          <w:p w14:paraId="7CC4E674" w14:textId="5B138548" w:rsidR="0094490C" w:rsidRPr="0094490C" w:rsidRDefault="0094490C" w:rsidP="0094490C">
            <w:pPr>
              <w:pStyle w:val="NoSpacing"/>
              <w:jc w:val="center"/>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Priority 3 – Establishing and embedding Pheasants as new Targeted Plus provision</w:t>
            </w:r>
          </w:p>
        </w:tc>
      </w:tr>
      <w:tr w:rsidR="002413AB" w:rsidRPr="0094490C" w14:paraId="031D5CFA" w14:textId="77777777" w:rsidTr="0094490C">
        <w:trPr>
          <w:jc w:val="center"/>
        </w:trPr>
        <w:tc>
          <w:tcPr>
            <w:tcW w:w="3828" w:type="dxa"/>
          </w:tcPr>
          <w:p w14:paraId="452E510A"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TMET element</w:t>
            </w:r>
          </w:p>
        </w:tc>
        <w:tc>
          <w:tcPr>
            <w:tcW w:w="6396" w:type="dxa"/>
          </w:tcPr>
          <w:p w14:paraId="1CE7C92C"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North Mead response</w:t>
            </w:r>
          </w:p>
        </w:tc>
      </w:tr>
      <w:tr w:rsidR="002413AB" w:rsidRPr="0094490C" w14:paraId="4CA666C5" w14:textId="77777777" w:rsidTr="0094490C">
        <w:trPr>
          <w:jc w:val="center"/>
        </w:trPr>
        <w:tc>
          <w:tcPr>
            <w:tcW w:w="3828" w:type="dxa"/>
          </w:tcPr>
          <w:p w14:paraId="18849AF2"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 / identified barrier</w:t>
            </w:r>
          </w:p>
        </w:tc>
        <w:tc>
          <w:tcPr>
            <w:tcW w:w="6396" w:type="dxa"/>
          </w:tcPr>
          <w:p w14:paraId="3238EB44" w14:textId="1E11EEC0"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 xml:space="preserve">North Mead identified a </w:t>
            </w:r>
            <w:r w:rsidR="00E473BF" w:rsidRPr="0094490C">
              <w:rPr>
                <w:rFonts w:asciiTheme="majorHAnsi" w:hAnsiTheme="majorHAnsi" w:cstheme="majorHAnsi"/>
                <w:sz w:val="20"/>
                <w:szCs w:val="20"/>
                <w:lang w:val="en-GB"/>
              </w:rPr>
              <w:t>group of children</w:t>
            </w:r>
            <w:r w:rsidRPr="0094490C">
              <w:rPr>
                <w:rFonts w:asciiTheme="majorHAnsi" w:hAnsiTheme="majorHAnsi" w:cstheme="majorHAnsi"/>
                <w:sz w:val="20"/>
                <w:szCs w:val="20"/>
                <w:lang w:val="en-GB"/>
              </w:rPr>
              <w:t xml:space="preserve"> whose communication, interaction, learning and regulation needs required a more intensive response than Universal/</w:t>
            </w:r>
            <w:r w:rsidR="00E473BF" w:rsidRPr="0094490C">
              <w:rPr>
                <w:rFonts w:asciiTheme="majorHAnsi" w:hAnsiTheme="majorHAnsi" w:cstheme="majorHAnsi"/>
                <w:sz w:val="20"/>
                <w:szCs w:val="20"/>
                <w:lang w:val="en-GB"/>
              </w:rPr>
              <w:t xml:space="preserve"> </w:t>
            </w:r>
            <w:r w:rsidRPr="0094490C">
              <w:rPr>
                <w:rFonts w:asciiTheme="majorHAnsi" w:hAnsiTheme="majorHAnsi" w:cstheme="majorHAnsi"/>
                <w:sz w:val="20"/>
                <w:szCs w:val="20"/>
                <w:lang w:val="en-GB"/>
              </w:rPr>
              <w:t>Targeted support, without necessarily requiring the highest-level Specialist provision. Pheasants opened in August 2026 for 16 children.</w:t>
            </w:r>
          </w:p>
        </w:tc>
      </w:tr>
      <w:tr w:rsidR="002413AB" w:rsidRPr="0094490C" w14:paraId="5F6B4BD0" w14:textId="77777777" w:rsidTr="0094490C">
        <w:trPr>
          <w:jc w:val="center"/>
        </w:trPr>
        <w:tc>
          <w:tcPr>
            <w:tcW w:w="3828" w:type="dxa"/>
          </w:tcPr>
          <w:p w14:paraId="26C16FF4"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Diagnosis and intended change</w:t>
            </w:r>
          </w:p>
        </w:tc>
        <w:tc>
          <w:tcPr>
            <w:tcW w:w="6396" w:type="dxa"/>
          </w:tcPr>
          <w:p w14:paraId="65F0BC0E"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Embed a high-quality Targeted Plus model that strengthens curriculum access, regulation, independence and participation while maintaining belonging to year-group and wider school life.</w:t>
            </w:r>
          </w:p>
        </w:tc>
      </w:tr>
      <w:tr w:rsidR="002413AB" w:rsidRPr="0094490C" w14:paraId="2D0B811B" w14:textId="77777777" w:rsidTr="0094490C">
        <w:trPr>
          <w:jc w:val="center"/>
        </w:trPr>
        <w:tc>
          <w:tcPr>
            <w:tcW w:w="3828" w:type="dxa"/>
          </w:tcPr>
          <w:p w14:paraId="32484587"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 base</w:t>
            </w:r>
          </w:p>
        </w:tc>
        <w:tc>
          <w:tcPr>
            <w:tcW w:w="6396" w:type="dxa"/>
          </w:tcPr>
          <w:p w14:paraId="19A01327"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TMET/DfE inclusion principles; graduated-response practice; existing EP, SALT and SEND expertise will inform implementation.</w:t>
            </w:r>
          </w:p>
        </w:tc>
      </w:tr>
      <w:tr w:rsidR="002413AB" w:rsidRPr="0094490C" w14:paraId="5F7ED7F5" w14:textId="77777777" w:rsidTr="0094490C">
        <w:trPr>
          <w:jc w:val="center"/>
        </w:trPr>
        <w:tc>
          <w:tcPr>
            <w:tcW w:w="3828" w:type="dxa"/>
          </w:tcPr>
          <w:p w14:paraId="2D64BCA8"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Implementation / additional IMF activity</w:t>
            </w:r>
          </w:p>
        </w:tc>
        <w:tc>
          <w:tcPr>
            <w:tcW w:w="6396" w:type="dxa"/>
          </w:tcPr>
          <w:p w14:paraId="0CA6365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 xml:space="preserve">Additional specialist coaching/input; assessment and baseline work; staff </w:t>
            </w:r>
            <w:r w:rsidRPr="0094490C">
              <w:rPr>
                <w:rFonts w:asciiTheme="majorHAnsi" w:hAnsiTheme="majorHAnsi" w:cstheme="majorHAnsi"/>
                <w:sz w:val="20"/>
                <w:szCs w:val="20"/>
                <w:lang w:val="en-GB"/>
              </w:rPr>
              <w:lastRenderedPageBreak/>
              <w:t>development/release; implementation resources; systematic impact evaluation.</w:t>
            </w:r>
          </w:p>
        </w:tc>
      </w:tr>
      <w:tr w:rsidR="002413AB" w:rsidRPr="0094490C" w14:paraId="3575282C" w14:textId="77777777" w:rsidTr="0094490C">
        <w:trPr>
          <w:jc w:val="center"/>
        </w:trPr>
        <w:tc>
          <w:tcPr>
            <w:tcW w:w="3828" w:type="dxa"/>
          </w:tcPr>
          <w:p w14:paraId="202FA8A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lastRenderedPageBreak/>
              <w:t>IMF budget</w:t>
            </w:r>
          </w:p>
        </w:tc>
        <w:tc>
          <w:tcPr>
            <w:tcW w:w="6396" w:type="dxa"/>
          </w:tcPr>
          <w:p w14:paraId="5F64B4B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£8,000</w:t>
            </w:r>
          </w:p>
        </w:tc>
      </w:tr>
      <w:tr w:rsidR="002413AB" w:rsidRPr="0094490C" w14:paraId="27536F00" w14:textId="77777777" w:rsidTr="0094490C">
        <w:trPr>
          <w:jc w:val="center"/>
        </w:trPr>
        <w:tc>
          <w:tcPr>
            <w:tcW w:w="3828" w:type="dxa"/>
          </w:tcPr>
          <w:p w14:paraId="6A92DE19"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Intended outcomes</w:t>
            </w:r>
          </w:p>
        </w:tc>
        <w:tc>
          <w:tcPr>
            <w:tcW w:w="6396" w:type="dxa"/>
          </w:tcPr>
          <w:p w14:paraId="1F5F552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Measurable progress from individual starting points in learning, communication, regulation and independence; attendance improves/remains strong; participation is evidenced; review decisions are outcome-led.</w:t>
            </w:r>
          </w:p>
        </w:tc>
      </w:tr>
      <w:tr w:rsidR="002413AB" w:rsidRPr="0094490C" w14:paraId="33817DF6" w14:textId="77777777" w:rsidTr="0094490C">
        <w:trPr>
          <w:jc w:val="center"/>
        </w:trPr>
        <w:tc>
          <w:tcPr>
            <w:tcW w:w="3828" w:type="dxa"/>
          </w:tcPr>
          <w:p w14:paraId="46D609B3"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Review</w:t>
            </w:r>
          </w:p>
        </w:tc>
        <w:tc>
          <w:tcPr>
            <w:tcW w:w="6396" w:type="dxa"/>
          </w:tcPr>
          <w:p w14:paraId="1C3EE26F"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Half-termly establishment review and termly pupil-outcome evaluation, including consideration of appropriate mainstream participation or movement through the graduated response.</w:t>
            </w:r>
          </w:p>
        </w:tc>
      </w:tr>
    </w:tbl>
    <w:p w14:paraId="1F931D5E" w14:textId="77777777" w:rsidR="0094490C" w:rsidRDefault="0094490C" w:rsidP="0094490C">
      <w:pPr>
        <w:pStyle w:val="NoSpacing"/>
        <w:rPr>
          <w:rFonts w:asciiTheme="majorHAnsi" w:hAnsiTheme="majorHAnsi" w:cstheme="majorHAnsi"/>
          <w:sz w:val="20"/>
          <w:szCs w:val="20"/>
          <w:lang w:val="en-GB"/>
        </w:rPr>
      </w:pPr>
    </w:p>
    <w:p w14:paraId="09CA24B5" w14:textId="1BCC4ED4" w:rsidR="002413AB" w:rsidRPr="0094490C" w:rsidRDefault="001706EA" w:rsidP="0094490C">
      <w:pPr>
        <w:pStyle w:val="NoSpacing"/>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IMF budget summary</w:t>
      </w:r>
    </w:p>
    <w:tbl>
      <w:tblPr>
        <w:tblStyle w:val="TableGrid"/>
        <w:tblW w:w="0" w:type="auto"/>
        <w:jc w:val="center"/>
        <w:tblLook w:val="04A0" w:firstRow="1" w:lastRow="0" w:firstColumn="1" w:lastColumn="0" w:noHBand="0" w:noVBand="1"/>
      </w:tblPr>
      <w:tblGrid>
        <w:gridCol w:w="5112"/>
        <w:gridCol w:w="5112"/>
      </w:tblGrid>
      <w:tr w:rsidR="002413AB" w:rsidRPr="0094490C" w14:paraId="3DDB10CD" w14:textId="77777777">
        <w:trPr>
          <w:jc w:val="center"/>
        </w:trPr>
        <w:tc>
          <w:tcPr>
            <w:tcW w:w="5112" w:type="dxa"/>
          </w:tcPr>
          <w:p w14:paraId="2AEEDB2B"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Priority</w:t>
            </w:r>
          </w:p>
        </w:tc>
        <w:tc>
          <w:tcPr>
            <w:tcW w:w="5112" w:type="dxa"/>
          </w:tcPr>
          <w:p w14:paraId="285AC8EE"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Budget</w:t>
            </w:r>
          </w:p>
        </w:tc>
      </w:tr>
      <w:tr w:rsidR="002413AB" w:rsidRPr="0094490C" w14:paraId="2B2146B1" w14:textId="77777777">
        <w:trPr>
          <w:jc w:val="center"/>
        </w:trPr>
        <w:tc>
          <w:tcPr>
            <w:tcW w:w="5112" w:type="dxa"/>
          </w:tcPr>
          <w:p w14:paraId="1820671C"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1. Communication, interaction and curriculum access</w:t>
            </w:r>
          </w:p>
        </w:tc>
        <w:tc>
          <w:tcPr>
            <w:tcW w:w="5112" w:type="dxa"/>
          </w:tcPr>
          <w:p w14:paraId="2E206075"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£7,500</w:t>
            </w:r>
          </w:p>
        </w:tc>
      </w:tr>
      <w:tr w:rsidR="002413AB" w:rsidRPr="0094490C" w14:paraId="377A7315" w14:textId="77777777">
        <w:trPr>
          <w:jc w:val="center"/>
        </w:trPr>
        <w:tc>
          <w:tcPr>
            <w:tcW w:w="5112" w:type="dxa"/>
          </w:tcPr>
          <w:p w14:paraId="36A1B424"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2. Multiple vulnerability and coordinated early support</w:t>
            </w:r>
          </w:p>
        </w:tc>
        <w:tc>
          <w:tcPr>
            <w:tcW w:w="5112" w:type="dxa"/>
          </w:tcPr>
          <w:p w14:paraId="748899A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£3,216</w:t>
            </w:r>
          </w:p>
        </w:tc>
      </w:tr>
      <w:tr w:rsidR="002413AB" w:rsidRPr="0094490C" w14:paraId="3EF25FBB" w14:textId="77777777">
        <w:trPr>
          <w:jc w:val="center"/>
        </w:trPr>
        <w:tc>
          <w:tcPr>
            <w:tcW w:w="5112" w:type="dxa"/>
          </w:tcPr>
          <w:p w14:paraId="6F9DAC17"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3. Establishing and embedding Pheasants</w:t>
            </w:r>
          </w:p>
        </w:tc>
        <w:tc>
          <w:tcPr>
            <w:tcW w:w="5112" w:type="dxa"/>
          </w:tcPr>
          <w:p w14:paraId="0EDFE8CB"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£8,000</w:t>
            </w:r>
          </w:p>
        </w:tc>
      </w:tr>
      <w:tr w:rsidR="002413AB" w:rsidRPr="0094490C" w14:paraId="67B97382" w14:textId="77777777">
        <w:trPr>
          <w:jc w:val="center"/>
        </w:trPr>
        <w:tc>
          <w:tcPr>
            <w:tcW w:w="5112" w:type="dxa"/>
          </w:tcPr>
          <w:p w14:paraId="734F544F"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TOTAL IMF ALLOCATION</w:t>
            </w:r>
          </w:p>
        </w:tc>
        <w:tc>
          <w:tcPr>
            <w:tcW w:w="5112" w:type="dxa"/>
          </w:tcPr>
          <w:p w14:paraId="4562509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£18,716</w:t>
            </w:r>
          </w:p>
        </w:tc>
      </w:tr>
    </w:tbl>
    <w:p w14:paraId="1B8F1932" w14:textId="77777777" w:rsidR="0094490C" w:rsidRPr="0094490C" w:rsidRDefault="0094490C" w:rsidP="0094490C">
      <w:pPr>
        <w:pStyle w:val="NoSpacing"/>
        <w:rPr>
          <w:rFonts w:asciiTheme="majorHAnsi" w:hAnsiTheme="majorHAnsi" w:cstheme="majorHAnsi"/>
          <w:sz w:val="20"/>
          <w:szCs w:val="20"/>
          <w:lang w:val="en-GB"/>
        </w:rPr>
      </w:pPr>
    </w:p>
    <w:p w14:paraId="50914234" w14:textId="55EA60C4" w:rsidR="002413AB"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The school will maintain clear records of IMF income and expenditure. Actual expenditure will be tracked against these agreed strategic envelopes and must represent additional or expanded inclusive activity rather than subsidy of pre-existing provision.</w:t>
      </w:r>
    </w:p>
    <w:p w14:paraId="72F35CF4" w14:textId="77777777" w:rsidR="0094490C" w:rsidRPr="0094490C" w:rsidRDefault="0094490C" w:rsidP="0094490C">
      <w:pPr>
        <w:pStyle w:val="NoSpacing"/>
        <w:rPr>
          <w:rFonts w:asciiTheme="majorHAnsi" w:hAnsiTheme="majorHAnsi" w:cstheme="majorHAnsi"/>
          <w:sz w:val="20"/>
          <w:szCs w:val="20"/>
          <w:lang w:val="en-GB"/>
        </w:rPr>
      </w:pPr>
    </w:p>
    <w:p w14:paraId="6FA5A805" w14:textId="7D41FE30" w:rsidR="002413AB" w:rsidRPr="0094490C" w:rsidRDefault="001706EA" w:rsidP="0094490C">
      <w:pPr>
        <w:pStyle w:val="NoSpacing"/>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Alignment with the seven principles of inclusion</w:t>
      </w:r>
    </w:p>
    <w:tbl>
      <w:tblPr>
        <w:tblStyle w:val="TableGrid"/>
        <w:tblW w:w="0" w:type="auto"/>
        <w:jc w:val="center"/>
        <w:tblLook w:val="04A0" w:firstRow="1" w:lastRow="0" w:firstColumn="1" w:lastColumn="0" w:noHBand="0" w:noVBand="1"/>
      </w:tblPr>
      <w:tblGrid>
        <w:gridCol w:w="5112"/>
        <w:gridCol w:w="5112"/>
      </w:tblGrid>
      <w:tr w:rsidR="002413AB" w:rsidRPr="0094490C" w14:paraId="19890624" w14:textId="77777777">
        <w:trPr>
          <w:jc w:val="center"/>
        </w:trPr>
        <w:tc>
          <w:tcPr>
            <w:tcW w:w="5112" w:type="dxa"/>
          </w:tcPr>
          <w:p w14:paraId="412BAD92"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DfE principle</w:t>
            </w:r>
          </w:p>
        </w:tc>
        <w:tc>
          <w:tcPr>
            <w:tcW w:w="5112" w:type="dxa"/>
          </w:tcPr>
          <w:p w14:paraId="43AE874A"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b/>
                <w:sz w:val="20"/>
                <w:szCs w:val="20"/>
                <w:lang w:val="en-GB"/>
              </w:rPr>
              <w:t>How this strategy contributes</w:t>
            </w:r>
          </w:p>
        </w:tc>
      </w:tr>
      <w:tr w:rsidR="002413AB" w:rsidRPr="0094490C" w14:paraId="4A6D3A66" w14:textId="77777777">
        <w:trPr>
          <w:jc w:val="center"/>
        </w:trPr>
        <w:tc>
          <w:tcPr>
            <w:tcW w:w="5112" w:type="dxa"/>
          </w:tcPr>
          <w:p w14:paraId="38BD47E7"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Ambitious leadership and governance</w:t>
            </w:r>
          </w:p>
        </w:tc>
        <w:tc>
          <w:tcPr>
            <w:tcW w:w="5112" w:type="dxa"/>
          </w:tcPr>
          <w:p w14:paraId="507C44EE"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Evidence-led strategy, leadership review and Academy Council scrutiny.</w:t>
            </w:r>
          </w:p>
        </w:tc>
      </w:tr>
      <w:tr w:rsidR="002413AB" w:rsidRPr="0094490C" w14:paraId="7E1B42C7" w14:textId="77777777">
        <w:trPr>
          <w:jc w:val="center"/>
        </w:trPr>
        <w:tc>
          <w:tcPr>
            <w:tcW w:w="5112" w:type="dxa"/>
          </w:tcPr>
          <w:p w14:paraId="5B66300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Evidence-based support prioritising early intervention</w:t>
            </w:r>
          </w:p>
        </w:tc>
        <w:tc>
          <w:tcPr>
            <w:tcW w:w="5112" w:type="dxa"/>
          </w:tcPr>
          <w:p w14:paraId="7A4D2F44"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Priorities are based on triangulated cohort evidence and graduated response.</w:t>
            </w:r>
          </w:p>
        </w:tc>
      </w:tr>
      <w:tr w:rsidR="002413AB" w:rsidRPr="0094490C" w14:paraId="4084FC09" w14:textId="77777777">
        <w:trPr>
          <w:jc w:val="center"/>
        </w:trPr>
        <w:tc>
          <w:tcPr>
            <w:tcW w:w="5112" w:type="dxa"/>
          </w:tcPr>
          <w:p w14:paraId="76DDCEE4"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High-quality adaptive teaching / curriculum for all</w:t>
            </w:r>
          </w:p>
        </w:tc>
        <w:tc>
          <w:tcPr>
            <w:tcW w:w="5112" w:type="dxa"/>
          </w:tcPr>
          <w:p w14:paraId="3656F1BF"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Priority 1 strengthens communication-supportive universal practice and curriculum access.</w:t>
            </w:r>
          </w:p>
        </w:tc>
      </w:tr>
      <w:tr w:rsidR="002413AB" w:rsidRPr="0094490C" w14:paraId="1EE70F29" w14:textId="77777777">
        <w:trPr>
          <w:jc w:val="center"/>
        </w:trPr>
        <w:tc>
          <w:tcPr>
            <w:tcW w:w="5112" w:type="dxa"/>
          </w:tcPr>
          <w:p w14:paraId="48C5C255"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Enriching provision accessible to all</w:t>
            </w:r>
          </w:p>
        </w:tc>
        <w:tc>
          <w:tcPr>
            <w:tcW w:w="5112" w:type="dxa"/>
          </w:tcPr>
          <w:p w14:paraId="65BD0148"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Participation and belonging remain part of monitoring, including within Pheasants and Bumblebees.</w:t>
            </w:r>
          </w:p>
        </w:tc>
      </w:tr>
      <w:tr w:rsidR="002413AB" w:rsidRPr="0094490C" w14:paraId="1EFBAEE8" w14:textId="77777777">
        <w:trPr>
          <w:jc w:val="center"/>
        </w:trPr>
        <w:tc>
          <w:tcPr>
            <w:tcW w:w="5112" w:type="dxa"/>
          </w:tcPr>
          <w:p w14:paraId="213D4FDE"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Safe, respectful culture fostering belonging and attendance</w:t>
            </w:r>
          </w:p>
        </w:tc>
        <w:tc>
          <w:tcPr>
            <w:tcW w:w="5112" w:type="dxa"/>
          </w:tcPr>
          <w:p w14:paraId="482DC56D"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Priority 2 responds to cumulative vulnerability; Priority 3 maintains belonging within the wider school community.</w:t>
            </w:r>
          </w:p>
        </w:tc>
      </w:tr>
      <w:tr w:rsidR="002413AB" w:rsidRPr="0094490C" w14:paraId="77FE2E56" w14:textId="77777777">
        <w:trPr>
          <w:jc w:val="center"/>
        </w:trPr>
        <w:tc>
          <w:tcPr>
            <w:tcW w:w="5112" w:type="dxa"/>
          </w:tcPr>
          <w:p w14:paraId="3871B89F"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Strong partnerships with families and wider services</w:t>
            </w:r>
          </w:p>
        </w:tc>
        <w:tc>
          <w:tcPr>
            <w:tcW w:w="5112" w:type="dxa"/>
          </w:tcPr>
          <w:p w14:paraId="7DC48A65"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Priority 2 explicitly strengthens coordinated work with families, social care and other services.</w:t>
            </w:r>
          </w:p>
        </w:tc>
      </w:tr>
      <w:tr w:rsidR="002413AB" w:rsidRPr="0094490C" w14:paraId="548BE2C4" w14:textId="77777777">
        <w:trPr>
          <w:jc w:val="center"/>
        </w:trPr>
        <w:tc>
          <w:tcPr>
            <w:tcW w:w="5112" w:type="dxa"/>
          </w:tcPr>
          <w:p w14:paraId="6D449DF0"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Inclusive environments / accessibility</w:t>
            </w:r>
          </w:p>
        </w:tc>
        <w:tc>
          <w:tcPr>
            <w:tcW w:w="5112" w:type="dxa"/>
          </w:tcPr>
          <w:p w14:paraId="7C6BF466" w14:textId="77777777" w:rsidR="002413AB"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Existing specialist provision and communication-supportive practice improve accessibility; IMF is not being used for capital works.</w:t>
            </w:r>
          </w:p>
        </w:tc>
      </w:tr>
    </w:tbl>
    <w:p w14:paraId="1D0F84DD" w14:textId="77777777" w:rsidR="0094490C" w:rsidRDefault="0094490C" w:rsidP="0094490C">
      <w:pPr>
        <w:pStyle w:val="NoSpacing"/>
        <w:rPr>
          <w:rFonts w:asciiTheme="majorHAnsi" w:hAnsiTheme="majorHAnsi" w:cstheme="majorHAnsi"/>
          <w:sz w:val="20"/>
          <w:szCs w:val="20"/>
          <w:lang w:val="en-GB"/>
        </w:rPr>
      </w:pPr>
    </w:p>
    <w:p w14:paraId="158760D5" w14:textId="1FD081C7" w:rsidR="002413AB" w:rsidRPr="0094490C" w:rsidRDefault="001706EA" w:rsidP="0094490C">
      <w:pPr>
        <w:pStyle w:val="NoSpacing"/>
        <w:rPr>
          <w:rFonts w:asciiTheme="majorHAnsi" w:hAnsiTheme="majorHAnsi" w:cstheme="majorHAnsi"/>
          <w:b/>
          <w:bCs/>
          <w:sz w:val="20"/>
          <w:szCs w:val="20"/>
          <w:lang w:val="en-GB"/>
        </w:rPr>
      </w:pPr>
      <w:r w:rsidRPr="0094490C">
        <w:rPr>
          <w:rFonts w:asciiTheme="majorHAnsi" w:hAnsiTheme="majorHAnsi" w:cstheme="majorHAnsi"/>
          <w:b/>
          <w:bCs/>
          <w:sz w:val="20"/>
          <w:szCs w:val="20"/>
          <w:lang w:val="en-GB"/>
        </w:rPr>
        <w:t>Monitoring, governance and accountability</w:t>
      </w:r>
    </w:p>
    <w:p w14:paraId="059A86E0" w14:textId="770D164D" w:rsidR="002413AB"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 xml:space="preserve">Leaders will review implementation half-termly and evaluate pupil impact termly. Review will consider whether the intended </w:t>
      </w:r>
      <w:r w:rsidR="0094490C" w:rsidRPr="0094490C">
        <w:rPr>
          <w:rFonts w:asciiTheme="majorHAnsi" w:hAnsiTheme="majorHAnsi" w:cstheme="majorHAnsi"/>
          <w:sz w:val="20"/>
          <w:szCs w:val="20"/>
          <w:lang w:val="en-GB"/>
        </w:rPr>
        <w:t>group of children</w:t>
      </w:r>
      <w:r w:rsidRPr="0094490C">
        <w:rPr>
          <w:rFonts w:asciiTheme="majorHAnsi" w:hAnsiTheme="majorHAnsi" w:cstheme="majorHAnsi"/>
          <w:sz w:val="20"/>
          <w:szCs w:val="20"/>
          <w:lang w:val="en-GB"/>
        </w:rPr>
        <w:t xml:space="preserve"> is being reached, whether activity is implemented as intended, whether barriers are reducing, and what children and families experience. Evidence will include relevant attainment/progress, communication, attendance, regulation, independence, participation and pupil/family voice.</w:t>
      </w:r>
    </w:p>
    <w:p w14:paraId="0BF5BECE" w14:textId="77777777" w:rsidR="0094490C" w:rsidRPr="0094490C" w:rsidRDefault="0094490C" w:rsidP="0094490C">
      <w:pPr>
        <w:pStyle w:val="NoSpacing"/>
        <w:rPr>
          <w:rFonts w:asciiTheme="majorHAnsi" w:hAnsiTheme="majorHAnsi" w:cstheme="majorHAnsi"/>
          <w:sz w:val="20"/>
          <w:szCs w:val="20"/>
          <w:lang w:val="en-GB"/>
        </w:rPr>
      </w:pPr>
    </w:p>
    <w:p w14:paraId="7EED663C" w14:textId="3FF93170" w:rsidR="001706EA" w:rsidRPr="0094490C" w:rsidRDefault="001706EA" w:rsidP="0094490C">
      <w:pPr>
        <w:pStyle w:val="NoSpacing"/>
        <w:rPr>
          <w:rFonts w:asciiTheme="majorHAnsi" w:hAnsiTheme="majorHAnsi" w:cstheme="majorHAnsi"/>
          <w:sz w:val="20"/>
          <w:szCs w:val="20"/>
          <w:lang w:val="en-GB"/>
        </w:rPr>
      </w:pPr>
      <w:r w:rsidRPr="0094490C">
        <w:rPr>
          <w:rFonts w:asciiTheme="majorHAnsi" w:hAnsiTheme="majorHAnsi" w:cstheme="majorHAnsi"/>
          <w:sz w:val="20"/>
          <w:szCs w:val="20"/>
          <w:lang w:val="en-GB"/>
        </w:rPr>
        <w:t xml:space="preserve">Academy Council will scrutinise the strategy, the planned and actual use of IMF, and evidence of impact. Where activity is not producing the intended benefit, leaders will adapt, intensify or stop it. The strategy will be updated </w:t>
      </w:r>
      <w:r w:rsidR="0094490C" w:rsidRPr="0094490C">
        <w:rPr>
          <w:rFonts w:asciiTheme="majorHAnsi" w:hAnsiTheme="majorHAnsi" w:cstheme="majorHAnsi"/>
          <w:sz w:val="20"/>
          <w:szCs w:val="20"/>
          <w:lang w:val="en-GB"/>
        </w:rPr>
        <w:t>annually,</w:t>
      </w:r>
      <w:r w:rsidRPr="0094490C">
        <w:rPr>
          <w:rFonts w:asciiTheme="majorHAnsi" w:hAnsiTheme="majorHAnsi" w:cstheme="majorHAnsi"/>
          <w:sz w:val="20"/>
          <w:szCs w:val="20"/>
          <w:lang w:val="en-GB"/>
        </w:rPr>
        <w:t xml:space="preserve"> and the school will retain clear evidence of IMF income and expenditure.</w:t>
      </w:r>
    </w:p>
    <w:sectPr w:rsidR="001706EA" w:rsidRPr="0094490C" w:rsidSect="00856906">
      <w:pgSz w:w="12240" w:h="15840"/>
      <w:pgMar w:top="284" w:right="1008" w:bottom="42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37369">
    <w:abstractNumId w:val="8"/>
  </w:num>
  <w:num w:numId="2" w16cid:durableId="2039618602">
    <w:abstractNumId w:val="6"/>
  </w:num>
  <w:num w:numId="3" w16cid:durableId="1867595133">
    <w:abstractNumId w:val="5"/>
  </w:num>
  <w:num w:numId="4" w16cid:durableId="932393174">
    <w:abstractNumId w:val="4"/>
  </w:num>
  <w:num w:numId="5" w16cid:durableId="1085037174">
    <w:abstractNumId w:val="7"/>
  </w:num>
  <w:num w:numId="6" w16cid:durableId="853616929">
    <w:abstractNumId w:val="3"/>
  </w:num>
  <w:num w:numId="7" w16cid:durableId="823550105">
    <w:abstractNumId w:val="2"/>
  </w:num>
  <w:num w:numId="8" w16cid:durableId="453182653">
    <w:abstractNumId w:val="1"/>
  </w:num>
  <w:num w:numId="9" w16cid:durableId="34821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B08"/>
    <w:rsid w:val="0015074B"/>
    <w:rsid w:val="001706EA"/>
    <w:rsid w:val="002413AB"/>
    <w:rsid w:val="0029639D"/>
    <w:rsid w:val="00326F90"/>
    <w:rsid w:val="00436BF2"/>
    <w:rsid w:val="00505FD7"/>
    <w:rsid w:val="00856906"/>
    <w:rsid w:val="0094490C"/>
    <w:rsid w:val="00AA1D8D"/>
    <w:rsid w:val="00B47730"/>
    <w:rsid w:val="00B56A2A"/>
    <w:rsid w:val="00CB0664"/>
    <w:rsid w:val="00E473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47369"/>
  <w14:defaultImageDpi w14:val="300"/>
  <w15:docId w15:val="{279035F9-3081-45C2-A65B-B5947C20B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hAnsi="Arial"/>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hAnsi="Arial"/>
    </w:rPr>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hAnsi="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hAnsi="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hAnsi="Arial"/>
      <w:b/>
      <w:bCs/>
    </w:rPr>
  </w:style>
  <w:style w:type="character" w:styleId="Emphasis">
    <w:name w:val="Emphasis"/>
    <w:basedOn w:val="DefaultParagraphFont"/>
    <w:uiPriority w:val="20"/>
    <w:qFormat/>
    <w:rsid w:val="00FC693F"/>
    <w:rPr>
      <w:rFonts w:ascii="Arial" w:hAnsi="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b/>
      <w:bCs/>
      <w:i/>
      <w:iCs/>
      <w:color w:val="4F81BD" w:themeColor="accent1"/>
    </w:rPr>
  </w:style>
  <w:style w:type="character" w:styleId="SubtleEmphasis">
    <w:name w:val="Subtle Emphasis"/>
    <w:basedOn w:val="DefaultParagraphFont"/>
    <w:uiPriority w:val="19"/>
    <w:qFormat/>
    <w:rsid w:val="00FC693F"/>
    <w:rPr>
      <w:rFonts w:ascii="Arial" w:hAnsi="Arial"/>
      <w:i/>
      <w:iCs/>
      <w:color w:val="808080" w:themeColor="text1" w:themeTint="7F"/>
    </w:rPr>
  </w:style>
  <w:style w:type="character" w:styleId="IntenseEmphasis">
    <w:name w:val="Intense Emphasis"/>
    <w:basedOn w:val="DefaultParagraphFont"/>
    <w:uiPriority w:val="21"/>
    <w:qFormat/>
    <w:rsid w:val="00FC693F"/>
    <w:rPr>
      <w:rFonts w:ascii="Arial" w:hAnsi="Arial"/>
      <w:b/>
      <w:bCs/>
      <w:i/>
      <w:iCs/>
      <w:color w:val="4F81BD" w:themeColor="accent1"/>
    </w:rPr>
  </w:style>
  <w:style w:type="character" w:styleId="SubtleReference">
    <w:name w:val="Subtle Reference"/>
    <w:basedOn w:val="DefaultParagraphFont"/>
    <w:uiPriority w:val="31"/>
    <w:qFormat/>
    <w:rsid w:val="00FC693F"/>
    <w:rPr>
      <w:rFonts w:ascii="Arial" w:hAnsi="Arial"/>
      <w:smallCaps/>
      <w:color w:val="C0504D" w:themeColor="accent2"/>
      <w:u w:val="single"/>
    </w:rPr>
  </w:style>
  <w:style w:type="character" w:styleId="IntenseReference">
    <w:name w:val="Intense Reference"/>
    <w:basedOn w:val="DefaultParagraphFont"/>
    <w:uiPriority w:val="32"/>
    <w:qFormat/>
    <w:rsid w:val="00FC693F"/>
    <w:rPr>
      <w:rFonts w:ascii="Arial" w:hAnsi="Arial"/>
      <w:b/>
      <w:bCs/>
      <w:smallCaps/>
      <w:color w:val="C0504D" w:themeColor="accent2"/>
      <w:spacing w:val="5"/>
      <w:u w:val="single"/>
    </w:rPr>
  </w:style>
  <w:style w:type="character" w:styleId="BookTitle">
    <w:name w:val="Book Title"/>
    <w:basedOn w:val="DefaultParagraphFont"/>
    <w:uiPriority w:val="33"/>
    <w:qFormat/>
    <w:rsid w:val="00FC693F"/>
    <w:rPr>
      <w:rFonts w:ascii="Arial" w:hAnsi="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A76ED01-3EDC-4989-8BB7-234934B0AA00}">
  <ds:schemaRefs>
    <ds:schemaRef ds:uri="http://schemas.microsoft.com/office/2006/metadata/properties"/>
    <ds:schemaRef ds:uri="http://schemas.microsoft.com/office/infopath/2007/PartnerControls"/>
    <ds:schemaRef ds:uri="6f141b9b-aada-4dc6-b847-34f58647ddf6"/>
    <ds:schemaRef ds:uri="a093df21-a027-401e-9777-6ef27d51da0e"/>
  </ds:schemaRefs>
</ds:datastoreItem>
</file>

<file path=customXml/itemProps3.xml><?xml version="1.0" encoding="utf-8"?>
<ds:datastoreItem xmlns:ds="http://schemas.openxmlformats.org/officeDocument/2006/customXml" ds:itemID="{8A6A30FA-BEB7-487C-89BF-AD98F95DF12D}">
  <ds:schemaRefs>
    <ds:schemaRef ds:uri="http://schemas.microsoft.com/sharepoint/v3/contenttype/forms"/>
  </ds:schemaRefs>
</ds:datastoreItem>
</file>

<file path=customXml/itemProps4.xml><?xml version="1.0" encoding="utf-8"?>
<ds:datastoreItem xmlns:ds="http://schemas.openxmlformats.org/officeDocument/2006/customXml" ds:itemID="{1D2776F4-0D5E-4A16-8D48-0007C953A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41b9b-aada-4dc6-b847-34f58647ddf6"/>
    <ds:schemaRef ds:uri="a093df21-a027-401e-9777-6ef27d51d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4</cp:revision>
  <dcterms:created xsi:type="dcterms:W3CDTF">2026-10-01T12:38:00Z</dcterms:created>
  <dcterms:modified xsi:type="dcterms:W3CDTF">2026-10-01T12:49:00Z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2026-10-01T12:36:28Z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a0d56a8e-b489-43f1-bd90-f09c8ef163e5</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y fmtid="{D5CDD505-2E9C-101B-9397-08002B2CF9AE}" pid="11" name="MediaServiceImageTags">
    <vt:lpwstr/>
  </property>
</Properties>
</file>